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29" w:type="dxa"/>
        <w:tblLook w:val="01E0"/>
      </w:tblPr>
      <w:tblGrid>
        <w:gridCol w:w="14829"/>
      </w:tblGrid>
      <w:tr w:rsidR="005F79E6" w:rsidRPr="00E30675" w:rsidTr="00A053B3">
        <w:tc>
          <w:tcPr>
            <w:tcW w:w="14829" w:type="dxa"/>
          </w:tcPr>
          <w:p w:rsidR="005F79E6" w:rsidRPr="00E30675" w:rsidRDefault="005F79E6" w:rsidP="00D46AED">
            <w:pPr>
              <w:rPr>
                <w:rFonts w:cs="Arial"/>
                <w:szCs w:val="20"/>
                <w:lang w:val="uk-UA"/>
              </w:rPr>
            </w:pPr>
            <w:r w:rsidRPr="00E30675">
              <w:rPr>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5pt;height:45pt;visibility:visible">
                  <v:imagedata r:id="rId6" o:title=""/>
                </v:shape>
              </w:pict>
            </w:r>
          </w:p>
          <w:p w:rsidR="005F79E6" w:rsidRPr="00E30675" w:rsidRDefault="005F79E6" w:rsidP="00D46AED">
            <w:pPr>
              <w:rPr>
                <w:rFonts w:cs="Arial"/>
                <w:szCs w:val="20"/>
                <w:lang w:val="uk-UA"/>
              </w:rPr>
            </w:pPr>
          </w:p>
          <w:tbl>
            <w:tblPr>
              <w:tblW w:w="14613" w:type="dxa"/>
              <w:tblLook w:val="01E0"/>
            </w:tblPr>
            <w:tblGrid>
              <w:gridCol w:w="4403"/>
              <w:gridCol w:w="5105"/>
              <w:gridCol w:w="5105"/>
            </w:tblGrid>
            <w:tr w:rsidR="005F79E6" w:rsidRPr="00E30675" w:rsidTr="006A2FEE">
              <w:trPr>
                <w:trHeight w:val="2893"/>
              </w:trPr>
              <w:tc>
                <w:tcPr>
                  <w:tcW w:w="4403" w:type="dxa"/>
                </w:tcPr>
                <w:p w:rsidR="005F79E6" w:rsidRPr="00E30675" w:rsidRDefault="005F79E6" w:rsidP="00A053B3">
                  <w:pPr>
                    <w:rPr>
                      <w:rFonts w:cs="Arial"/>
                      <w:szCs w:val="20"/>
                      <w:lang w:val="uk-UA"/>
                    </w:rPr>
                  </w:pPr>
                  <w:r w:rsidRPr="00E30675">
                    <w:rPr>
                      <w:rFonts w:cs="Arial"/>
                      <w:szCs w:val="20"/>
                      <w:lang w:val="uk-UA"/>
                    </w:rPr>
                    <w:t>АТ «ДНІПРОГАЗ»</w:t>
                  </w:r>
                </w:p>
                <w:p w:rsidR="005F79E6" w:rsidRPr="00E30675" w:rsidRDefault="005F79E6" w:rsidP="00A053B3">
                  <w:pPr>
                    <w:rPr>
                      <w:rFonts w:cs="Arial"/>
                      <w:szCs w:val="20"/>
                      <w:lang w:val="uk-UA"/>
                    </w:rPr>
                  </w:pPr>
                  <w:r w:rsidRPr="00E30675">
                    <w:rPr>
                      <w:rFonts w:cs="Arial"/>
                      <w:szCs w:val="20"/>
                      <w:lang w:val="uk-UA"/>
                    </w:rPr>
                    <w:t xml:space="preserve">вул. О. Кониського, </w:t>
                  </w:r>
                  <w:smartTag w:uri="urn:schemas-microsoft-com:office:smarttags" w:element="metricconverter">
                    <w:smartTagPr>
                      <w:attr w:name="ProductID" w:val="5, м"/>
                    </w:smartTagPr>
                    <w:r w:rsidRPr="00E30675">
                      <w:rPr>
                        <w:rFonts w:cs="Arial"/>
                        <w:szCs w:val="20"/>
                        <w:lang w:val="uk-UA"/>
                      </w:rPr>
                      <w:t>5, м</w:t>
                    </w:r>
                  </w:smartTag>
                  <w:r w:rsidRPr="00E30675">
                    <w:rPr>
                      <w:rFonts w:cs="Arial"/>
                      <w:szCs w:val="20"/>
                      <w:lang w:val="uk-UA"/>
                    </w:rPr>
                    <w:t>. Дніпро, 49101</w:t>
                  </w:r>
                </w:p>
                <w:p w:rsidR="005F79E6" w:rsidRPr="00E30675" w:rsidRDefault="005F79E6" w:rsidP="00A053B3">
                  <w:pPr>
                    <w:rPr>
                      <w:rFonts w:cs="Arial"/>
                      <w:szCs w:val="20"/>
                      <w:lang w:val="uk-UA"/>
                    </w:rPr>
                  </w:pPr>
                  <w:r w:rsidRPr="00E30675">
                    <w:rPr>
                      <w:rFonts w:cs="Arial"/>
                      <w:szCs w:val="20"/>
                      <w:lang w:val="uk-UA"/>
                    </w:rPr>
                    <w:t>Код ЄДРПОУ 20262860</w:t>
                  </w:r>
                </w:p>
                <w:p w:rsidR="005F79E6" w:rsidRPr="00E30675" w:rsidRDefault="005F79E6" w:rsidP="00A053B3">
                  <w:pPr>
                    <w:rPr>
                      <w:rFonts w:cs="Arial"/>
                      <w:szCs w:val="20"/>
                      <w:lang w:val="uk-UA"/>
                    </w:rPr>
                  </w:pPr>
                  <w:r w:rsidRPr="00E30675">
                    <w:rPr>
                      <w:rFonts w:cs="Arial"/>
                      <w:szCs w:val="20"/>
                      <w:lang w:val="uk-UA"/>
                    </w:rPr>
                    <w:t>ІПН202628604021</w:t>
                  </w:r>
                </w:p>
                <w:p w:rsidR="005F79E6" w:rsidRPr="00E30675" w:rsidRDefault="005F79E6" w:rsidP="00A053B3">
                  <w:pPr>
                    <w:rPr>
                      <w:rFonts w:cs="Arial"/>
                      <w:szCs w:val="20"/>
                    </w:rPr>
                  </w:pPr>
                  <w:r w:rsidRPr="00E30675">
                    <w:rPr>
                      <w:rFonts w:cs="Arial"/>
                      <w:szCs w:val="20"/>
                      <w:lang w:val="uk-UA"/>
                    </w:rPr>
                    <w:t>Тел.: 056 7</w:t>
                  </w:r>
                  <w:r w:rsidRPr="00E30675">
                    <w:rPr>
                      <w:rFonts w:cs="Arial"/>
                      <w:szCs w:val="20"/>
                    </w:rPr>
                    <w:t>87 81 13</w:t>
                  </w:r>
                </w:p>
                <w:p w:rsidR="005F79E6" w:rsidRPr="00E30675" w:rsidRDefault="005F79E6" w:rsidP="00A053B3">
                  <w:pPr>
                    <w:rPr>
                      <w:rFonts w:cs="Arial"/>
                      <w:szCs w:val="20"/>
                      <w:lang w:val="uk-UA"/>
                    </w:rPr>
                  </w:pPr>
                  <w:r w:rsidRPr="00E30675">
                    <w:rPr>
                      <w:rFonts w:cs="Arial"/>
                      <w:szCs w:val="20"/>
                      <w:lang w:val="uk-UA"/>
                    </w:rPr>
                    <w:t>Факс: 056233 36 26</w:t>
                  </w:r>
                </w:p>
                <w:p w:rsidR="005F79E6" w:rsidRPr="00E30675" w:rsidRDefault="005F79E6" w:rsidP="00A053B3">
                  <w:pPr>
                    <w:rPr>
                      <w:rFonts w:cs="Arial"/>
                      <w:szCs w:val="20"/>
                      <w:lang w:val="uk-UA"/>
                    </w:rPr>
                  </w:pPr>
                  <w:r w:rsidRPr="00E30675">
                    <w:rPr>
                      <w:rFonts w:cs="Arial"/>
                      <w:szCs w:val="20"/>
                      <w:lang w:val="uk-UA"/>
                    </w:rPr>
                    <w:t>dpgor.dsoua.com</w:t>
                  </w:r>
                </w:p>
                <w:p w:rsidR="005F79E6" w:rsidRPr="00E30675" w:rsidRDefault="005F79E6" w:rsidP="00A053B3">
                  <w:pPr>
                    <w:rPr>
                      <w:rFonts w:cs="Arial"/>
                      <w:szCs w:val="20"/>
                      <w:lang w:val="uk-UA"/>
                    </w:rPr>
                  </w:pPr>
                  <w:r w:rsidRPr="00E30675">
                    <w:rPr>
                      <w:rFonts w:cs="Arial"/>
                      <w:szCs w:val="20"/>
                      <w:lang w:val="uk-UA"/>
                    </w:rPr>
                    <w:t xml:space="preserve">e-mail: </w:t>
                  </w:r>
                  <w:hyperlink r:id="rId7" w:history="1">
                    <w:r w:rsidRPr="00E30675">
                      <w:rPr>
                        <w:rStyle w:val="Hyperlink"/>
                        <w:rFonts w:cs="Arial"/>
                        <w:szCs w:val="20"/>
                        <w:lang w:val="uk-UA"/>
                      </w:rPr>
                      <w:t>info@dpgorgas.com.ua</w:t>
                    </w:r>
                  </w:hyperlink>
                </w:p>
                <w:p w:rsidR="005F79E6" w:rsidRPr="00E30675" w:rsidRDefault="005F79E6" w:rsidP="00A053B3">
                  <w:pPr>
                    <w:rPr>
                      <w:rFonts w:cs="Arial"/>
                      <w:szCs w:val="20"/>
                      <w:lang w:val="uk-UA"/>
                    </w:rPr>
                  </w:pPr>
                  <w:r w:rsidRPr="00E30675">
                    <w:rPr>
                      <w:rFonts w:cs="Arial"/>
                      <w:szCs w:val="20"/>
                      <w:lang w:val="uk-UA"/>
                    </w:rPr>
                    <w:t xml:space="preserve">27.07.2021 р. </w:t>
                  </w:r>
                  <w:r w:rsidRPr="00E30675">
                    <w:rPr>
                      <w:rFonts w:cs="Arial"/>
                      <w:szCs w:val="20"/>
                    </w:rPr>
                    <w:t xml:space="preserve">№ </w:t>
                  </w:r>
                  <w:r w:rsidRPr="00E30675">
                    <w:rPr>
                      <w:rFonts w:cs="Arial"/>
                      <w:szCs w:val="20"/>
                      <w:lang w:val="uk-UA"/>
                    </w:rPr>
                    <w:t>01-07-2021</w:t>
                  </w:r>
                  <w:bookmarkStart w:id="0" w:name="_GoBack"/>
                  <w:bookmarkEnd w:id="0"/>
                </w:p>
                <w:p w:rsidR="005F79E6" w:rsidRPr="00E30675" w:rsidRDefault="005F79E6" w:rsidP="00A053B3">
                  <w:pPr>
                    <w:rPr>
                      <w:rFonts w:cs="Arial"/>
                      <w:szCs w:val="20"/>
                      <w:lang w:val="uk-UA"/>
                    </w:rPr>
                  </w:pPr>
                  <w:r w:rsidRPr="00E30675">
                    <w:rPr>
                      <w:rFonts w:cs="Arial"/>
                      <w:szCs w:val="20"/>
                    </w:rPr>
                    <w:t xml:space="preserve">на № 135 </w:t>
                  </w:r>
                  <w:r w:rsidRPr="00E30675">
                    <w:rPr>
                      <w:rFonts w:cs="Arial"/>
                      <w:szCs w:val="20"/>
                      <w:lang w:val="uk-UA"/>
                    </w:rPr>
                    <w:t>від 23.07.2021 р.</w:t>
                  </w:r>
                </w:p>
                <w:p w:rsidR="005F79E6" w:rsidRPr="00E30675" w:rsidRDefault="005F79E6" w:rsidP="00A053B3">
                  <w:pPr>
                    <w:rPr>
                      <w:rFonts w:cs="Arial"/>
                      <w:szCs w:val="20"/>
                      <w:lang w:val="uk-UA"/>
                    </w:rPr>
                  </w:pPr>
                </w:p>
                <w:p w:rsidR="005F79E6" w:rsidRPr="00E30675" w:rsidRDefault="005F79E6" w:rsidP="006A2FEE">
                  <w:pPr>
                    <w:tabs>
                      <w:tab w:val="left" w:pos="999"/>
                    </w:tabs>
                    <w:rPr>
                      <w:rFonts w:cs="Arial"/>
                      <w:szCs w:val="20"/>
                      <w:lang w:val="uk-UA"/>
                    </w:rPr>
                  </w:pPr>
                  <w:r w:rsidRPr="00E30675">
                    <w:rPr>
                      <w:rFonts w:cs="Arial"/>
                      <w:szCs w:val="20"/>
                      <w:lang w:val="uk-UA"/>
                    </w:rPr>
                    <w:tab/>
                  </w:r>
                </w:p>
              </w:tc>
              <w:tc>
                <w:tcPr>
                  <w:tcW w:w="5105" w:type="dxa"/>
                </w:tcPr>
                <w:p w:rsidR="005F79E6" w:rsidRPr="00E30675" w:rsidRDefault="005F79E6" w:rsidP="00A053B3">
                  <w:pPr>
                    <w:spacing w:line="276" w:lineRule="auto"/>
                    <w:jc w:val="right"/>
                    <w:rPr>
                      <w:rFonts w:cs="Arial"/>
                      <w:b/>
                      <w:i/>
                      <w:szCs w:val="20"/>
                      <w:lang w:val="uk-UA"/>
                    </w:rPr>
                  </w:pPr>
                </w:p>
                <w:p w:rsidR="005F79E6" w:rsidRPr="00E30675" w:rsidRDefault="005F79E6" w:rsidP="00A053B3">
                  <w:pPr>
                    <w:spacing w:line="276" w:lineRule="auto"/>
                    <w:jc w:val="right"/>
                    <w:rPr>
                      <w:b/>
                      <w:bCs/>
                      <w:szCs w:val="20"/>
                      <w:lang w:val="uk-UA"/>
                    </w:rPr>
                  </w:pPr>
                </w:p>
                <w:p w:rsidR="005F79E6" w:rsidRPr="00E30675" w:rsidRDefault="005F79E6" w:rsidP="00A053B3">
                  <w:pPr>
                    <w:spacing w:line="276" w:lineRule="auto"/>
                    <w:jc w:val="right"/>
                    <w:rPr>
                      <w:b/>
                      <w:bCs/>
                      <w:sz w:val="24"/>
                      <w:lang w:val="uk-UA"/>
                    </w:rPr>
                  </w:pPr>
                  <w:r w:rsidRPr="00E30675">
                    <w:rPr>
                      <w:b/>
                      <w:bCs/>
                      <w:sz w:val="24"/>
                      <w:lang w:val="uk-UA"/>
                    </w:rPr>
                    <w:t>Головному редактору</w:t>
                  </w:r>
                </w:p>
                <w:p w:rsidR="005F79E6" w:rsidRPr="00E30675" w:rsidRDefault="005F79E6" w:rsidP="00A053B3">
                  <w:pPr>
                    <w:spacing w:line="276" w:lineRule="auto"/>
                    <w:jc w:val="right"/>
                    <w:rPr>
                      <w:b/>
                      <w:bCs/>
                      <w:sz w:val="24"/>
                      <w:lang w:val="uk-UA"/>
                    </w:rPr>
                  </w:pPr>
                  <w:r w:rsidRPr="00E30675">
                    <w:rPr>
                      <w:b/>
                      <w:bCs/>
                      <w:sz w:val="24"/>
                      <w:lang w:val="uk-UA"/>
                    </w:rPr>
                    <w:t xml:space="preserve">сайту </w:t>
                  </w:r>
                  <w:r w:rsidRPr="00E30675">
                    <w:rPr>
                      <w:b/>
                      <w:bCs/>
                      <w:sz w:val="24"/>
                      <w:lang w:val="en-US"/>
                    </w:rPr>
                    <w:t>gorod</w:t>
                  </w:r>
                  <w:r w:rsidRPr="00E30675">
                    <w:rPr>
                      <w:b/>
                      <w:bCs/>
                      <w:sz w:val="24"/>
                      <w:lang w:val="uk-UA"/>
                    </w:rPr>
                    <w:t>.</w:t>
                  </w:r>
                  <w:r w:rsidRPr="00E30675">
                    <w:rPr>
                      <w:b/>
                      <w:bCs/>
                      <w:sz w:val="24"/>
                      <w:lang w:val="en-US"/>
                    </w:rPr>
                    <w:t>dp</w:t>
                  </w:r>
                  <w:r w:rsidRPr="00E30675">
                    <w:rPr>
                      <w:b/>
                      <w:bCs/>
                      <w:sz w:val="24"/>
                      <w:lang w:val="uk-UA"/>
                    </w:rPr>
                    <w:t>.</w:t>
                  </w:r>
                  <w:r w:rsidRPr="00E30675">
                    <w:rPr>
                      <w:b/>
                      <w:bCs/>
                      <w:sz w:val="24"/>
                      <w:lang w:val="en-US"/>
                    </w:rPr>
                    <w:t>ua</w:t>
                  </w:r>
                </w:p>
                <w:p w:rsidR="005F79E6" w:rsidRPr="00E30675" w:rsidRDefault="005F79E6" w:rsidP="006A2FEE">
                  <w:pPr>
                    <w:spacing w:line="276" w:lineRule="auto"/>
                    <w:jc w:val="right"/>
                    <w:rPr>
                      <w:rFonts w:cs="Arial"/>
                      <w:szCs w:val="20"/>
                      <w:lang w:val="uk-UA"/>
                    </w:rPr>
                  </w:pPr>
                </w:p>
              </w:tc>
              <w:tc>
                <w:tcPr>
                  <w:tcW w:w="5105" w:type="dxa"/>
                </w:tcPr>
                <w:p w:rsidR="005F79E6" w:rsidRPr="00E30675" w:rsidRDefault="005F79E6" w:rsidP="00A053B3">
                  <w:pPr>
                    <w:jc w:val="right"/>
                    <w:rPr>
                      <w:rFonts w:cs="Arial"/>
                      <w:szCs w:val="20"/>
                      <w:lang w:val="en-US"/>
                    </w:rPr>
                  </w:pPr>
                  <w:r w:rsidRPr="00E30675">
                    <w:rPr>
                      <w:rFonts w:cs="Arial"/>
                      <w:szCs w:val="20"/>
                    </w:rPr>
                    <w:t>Текст</w:t>
                  </w:r>
                </w:p>
                <w:p w:rsidR="005F79E6" w:rsidRPr="00E30675" w:rsidRDefault="005F79E6" w:rsidP="00A053B3">
                  <w:pPr>
                    <w:spacing w:line="276" w:lineRule="auto"/>
                    <w:jc w:val="right"/>
                    <w:rPr>
                      <w:rFonts w:cs="Arial"/>
                      <w:szCs w:val="20"/>
                      <w:lang w:val="uk-UA"/>
                    </w:rPr>
                  </w:pPr>
                </w:p>
              </w:tc>
            </w:tr>
          </w:tbl>
          <w:p w:rsidR="005F79E6" w:rsidRPr="00E30675" w:rsidRDefault="005F79E6" w:rsidP="00A053B3">
            <w:pPr>
              <w:rPr>
                <w:rFonts w:cs="Arial"/>
                <w:szCs w:val="20"/>
                <w:lang w:val="uk-UA"/>
              </w:rPr>
            </w:pPr>
          </w:p>
        </w:tc>
      </w:tr>
    </w:tbl>
    <w:p w:rsidR="005F79E6" w:rsidRPr="006874D2" w:rsidRDefault="005F79E6" w:rsidP="00A053B3">
      <w:pPr>
        <w:rPr>
          <w:b/>
          <w:iCs/>
          <w:szCs w:val="20"/>
          <w:lang w:val="uk-UA"/>
        </w:rPr>
      </w:pPr>
      <w:bookmarkStart w:id="1" w:name="_Hlk78277098"/>
      <w:r w:rsidRPr="006874D2">
        <w:rPr>
          <w:b/>
          <w:iCs/>
          <w:szCs w:val="20"/>
          <w:lang w:val="uk-UA"/>
        </w:rPr>
        <w:t>Про надання відповіді</w:t>
      </w:r>
      <w:r w:rsidRPr="006874D2">
        <w:rPr>
          <w:b/>
          <w:iCs/>
          <w:szCs w:val="20"/>
        </w:rPr>
        <w:t xml:space="preserve"> на </w:t>
      </w:r>
      <w:r w:rsidRPr="006874D2">
        <w:rPr>
          <w:b/>
          <w:iCs/>
          <w:szCs w:val="20"/>
          <w:lang w:val="uk-UA"/>
        </w:rPr>
        <w:t>інформаційний запит</w:t>
      </w:r>
    </w:p>
    <w:p w:rsidR="005F79E6" w:rsidRPr="006874D2" w:rsidRDefault="005F79E6" w:rsidP="0017204A">
      <w:pPr>
        <w:tabs>
          <w:tab w:val="left" w:pos="5507"/>
        </w:tabs>
        <w:ind w:firstLine="567"/>
        <w:jc w:val="both"/>
        <w:rPr>
          <w:szCs w:val="20"/>
          <w:lang w:val="uk-UA"/>
        </w:rPr>
      </w:pPr>
      <w:r w:rsidRPr="006874D2">
        <w:rPr>
          <w:szCs w:val="20"/>
          <w:lang w:val="uk-UA"/>
        </w:rPr>
        <w:t>23.07.2021 року до АТ «Дніпрогаз» надійшов інформаційний запит щодо відсутності газопостачання по вул. Ярослава Мудрого, 29. Розглянувши зазначений лист, АТ «Дніпрогаз» повідомляє про наступне.</w:t>
      </w:r>
    </w:p>
    <w:p w:rsidR="005F79E6" w:rsidRPr="006874D2" w:rsidRDefault="005F79E6" w:rsidP="006A2FEE">
      <w:pPr>
        <w:shd w:val="clear" w:color="auto" w:fill="FFFFFF"/>
        <w:spacing w:line="276" w:lineRule="auto"/>
        <w:ind w:firstLine="567"/>
        <w:jc w:val="both"/>
        <w:rPr>
          <w:szCs w:val="20"/>
          <w:lang w:val="uk-UA" w:eastAsia="uk-UA"/>
        </w:rPr>
      </w:pPr>
      <w:r w:rsidRPr="006874D2">
        <w:rPr>
          <w:szCs w:val="20"/>
          <w:lang w:val="uk-UA" w:eastAsia="uk-UA"/>
        </w:rPr>
        <w:t xml:space="preserve">Кодексом газорозподільних систем, затвердженим Постановою Національної комісії, що здійснює державне регулювання у сферах енергетики та комунальних послуг від 30.09.2015 р. №2494 (далі- Кодекс ГРМ), передбачені випадки, в яких Оператор ГРМ в установленому законодавством порядку має право припинити/обмежити газопостачання на об'єкт споживача </w:t>
      </w:r>
      <w:r w:rsidRPr="006874D2">
        <w:rPr>
          <w:szCs w:val="20"/>
          <w:lang w:val="uk-UA" w:eastAsia="uk-UA"/>
        </w:rPr>
        <w:br/>
        <w:t>(у тому числі побутового споживача) з дотриманням Правил безпеки системи газопостачання, затверджених Наказом Міністерства енергетики та вугільної промисловості України від 15.05.15 № 285 (далі-ПБСГ) та нормативних документів, що визначають порядок обмеження/припинення природного газу, зокрема, у випадках визнання в установленому порядку аварійним станом газорозподільної системи та/або ліквідація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rsidR="005F79E6" w:rsidRPr="006874D2" w:rsidRDefault="005F79E6" w:rsidP="006A2FEE">
      <w:pPr>
        <w:tabs>
          <w:tab w:val="center" w:pos="0"/>
        </w:tabs>
        <w:spacing w:line="276" w:lineRule="auto"/>
        <w:ind w:left="34" w:firstLine="567"/>
        <w:contextualSpacing/>
        <w:jc w:val="both"/>
        <w:rPr>
          <w:szCs w:val="20"/>
          <w:lang w:val="uk-UA"/>
        </w:rPr>
      </w:pPr>
      <w:r w:rsidRPr="006874D2">
        <w:rPr>
          <w:szCs w:val="20"/>
          <w:lang w:val="uk-UA"/>
        </w:rPr>
        <w:t xml:space="preserve">16.06.2021р. фахівцями АТ «Дніпрогаз» проводились ремонтні роботи на системі газопостачання по вулиці </w:t>
      </w:r>
      <w:r w:rsidRPr="006874D2">
        <w:rPr>
          <w:szCs w:val="20"/>
          <w:lang w:val="uk-UA" w:eastAsia="uk-UA"/>
        </w:rPr>
        <w:t>Князя Ярослава Мудрого, у зв’язку з чим, було припинено газопостачання до житлов</w:t>
      </w:r>
      <w:r>
        <w:rPr>
          <w:szCs w:val="20"/>
          <w:lang w:val="uk-UA" w:eastAsia="uk-UA"/>
        </w:rPr>
        <w:t>о</w:t>
      </w:r>
      <w:r w:rsidRPr="006874D2">
        <w:rPr>
          <w:szCs w:val="20"/>
          <w:lang w:val="uk-UA" w:eastAsia="uk-UA"/>
        </w:rPr>
        <w:t xml:space="preserve">го будинку №29 по вищевказаній вулиці. </w:t>
      </w:r>
      <w:r>
        <w:rPr>
          <w:szCs w:val="20"/>
          <w:lang w:val="uk-UA" w:eastAsia="uk-UA"/>
        </w:rPr>
        <w:t xml:space="preserve">Виконання даного виду робіт спрямоване </w:t>
      </w:r>
      <w:r w:rsidRPr="006874D2">
        <w:rPr>
          <w:szCs w:val="20"/>
          <w:lang w:val="uk-UA" w:eastAsia="uk-UA"/>
        </w:rPr>
        <w:t xml:space="preserve">підвищити безпеку використання </w:t>
      </w:r>
      <w:r>
        <w:rPr>
          <w:szCs w:val="20"/>
          <w:lang w:val="uk-UA" w:eastAsia="uk-UA"/>
        </w:rPr>
        <w:t xml:space="preserve">природного </w:t>
      </w:r>
      <w:r w:rsidRPr="006874D2">
        <w:rPr>
          <w:szCs w:val="20"/>
          <w:lang w:val="uk-UA" w:eastAsia="uk-UA"/>
        </w:rPr>
        <w:t>газу у побуті та забезпечит</w:t>
      </w:r>
      <w:r>
        <w:rPr>
          <w:szCs w:val="20"/>
          <w:lang w:val="uk-UA" w:eastAsia="uk-UA"/>
        </w:rPr>
        <w:t>и</w:t>
      </w:r>
      <w:r w:rsidRPr="006874D2">
        <w:rPr>
          <w:szCs w:val="20"/>
          <w:lang w:val="uk-UA" w:eastAsia="uk-UA"/>
        </w:rPr>
        <w:t xml:space="preserve"> надійне газопостачання в опалювальний період.</w:t>
      </w:r>
    </w:p>
    <w:p w:rsidR="005F79E6" w:rsidRDefault="005F79E6" w:rsidP="00056719">
      <w:pPr>
        <w:tabs>
          <w:tab w:val="center" w:pos="0"/>
        </w:tabs>
        <w:spacing w:line="276" w:lineRule="auto"/>
        <w:ind w:left="34" w:firstLine="567"/>
        <w:contextualSpacing/>
        <w:jc w:val="both"/>
        <w:rPr>
          <w:szCs w:val="20"/>
          <w:lang w:val="uk-UA" w:eastAsia="uk-UA"/>
        </w:rPr>
      </w:pPr>
      <w:r w:rsidRPr="006874D2">
        <w:rPr>
          <w:szCs w:val="20"/>
          <w:lang w:val="uk-UA" w:eastAsia="uk-UA"/>
        </w:rPr>
        <w:t xml:space="preserve">Щодо виконання </w:t>
      </w:r>
      <w:r w:rsidRPr="00056719">
        <w:rPr>
          <w:szCs w:val="20"/>
          <w:lang w:val="uk-UA" w:eastAsia="uk-UA"/>
        </w:rPr>
        <w:t>рег</w:t>
      </w:r>
      <w:r>
        <w:rPr>
          <w:szCs w:val="20"/>
          <w:lang w:val="uk-UA" w:eastAsia="uk-UA"/>
        </w:rPr>
        <w:t xml:space="preserve">ламентних </w:t>
      </w:r>
      <w:r w:rsidRPr="006874D2">
        <w:rPr>
          <w:szCs w:val="20"/>
          <w:lang w:val="uk-UA" w:eastAsia="uk-UA"/>
        </w:rPr>
        <w:t xml:space="preserve">робіт та </w:t>
      </w:r>
      <w:r>
        <w:rPr>
          <w:szCs w:val="20"/>
          <w:lang w:val="uk-UA" w:eastAsia="uk-UA"/>
        </w:rPr>
        <w:t xml:space="preserve">тимчасового </w:t>
      </w:r>
      <w:r w:rsidRPr="006874D2">
        <w:rPr>
          <w:szCs w:val="20"/>
          <w:lang w:val="uk-UA" w:eastAsia="uk-UA"/>
        </w:rPr>
        <w:t>припинення газопостачання з вказаною адресою,</w:t>
      </w:r>
      <w:r>
        <w:rPr>
          <w:szCs w:val="20"/>
          <w:lang w:val="uk-UA" w:eastAsia="uk-UA"/>
        </w:rPr>
        <w:t xml:space="preserve"> фахівці АТ «Дніпрогаз» заздалегідь інформували </w:t>
      </w:r>
      <w:r w:rsidRPr="006874D2">
        <w:rPr>
          <w:szCs w:val="20"/>
          <w:lang w:val="uk-UA" w:eastAsia="uk-UA"/>
        </w:rPr>
        <w:t>власника/управителя багатоквартирного житлового будинку за вказаною адресою</w:t>
      </w:r>
      <w:r>
        <w:rPr>
          <w:szCs w:val="20"/>
          <w:lang w:val="uk-UA" w:eastAsia="uk-UA"/>
        </w:rPr>
        <w:t xml:space="preserve"> шляхом направлення відповідного листа, датованого 10.06.2021 року, та мешканців будинку через </w:t>
      </w:r>
      <w:r w:rsidRPr="006874D2">
        <w:rPr>
          <w:szCs w:val="20"/>
          <w:lang w:val="uk-UA" w:eastAsia="uk-UA"/>
        </w:rPr>
        <w:t>розміщення оголошень</w:t>
      </w:r>
      <w:r>
        <w:rPr>
          <w:szCs w:val="20"/>
          <w:lang w:val="uk-UA" w:eastAsia="uk-UA"/>
        </w:rPr>
        <w:t xml:space="preserve"> на інформаційних дошках біля під</w:t>
      </w:r>
      <w:r w:rsidRPr="00056719">
        <w:rPr>
          <w:szCs w:val="20"/>
          <w:lang w:val="uk-UA" w:eastAsia="uk-UA"/>
        </w:rPr>
        <w:t>’</w:t>
      </w:r>
      <w:r>
        <w:rPr>
          <w:szCs w:val="20"/>
          <w:lang w:val="uk-UA" w:eastAsia="uk-UA"/>
        </w:rPr>
        <w:t>їздів.</w:t>
      </w:r>
    </w:p>
    <w:p w:rsidR="005F79E6" w:rsidRPr="006874D2" w:rsidRDefault="005F79E6" w:rsidP="006A2FEE">
      <w:pPr>
        <w:spacing w:line="276" w:lineRule="auto"/>
        <w:ind w:left="34" w:firstLine="567"/>
        <w:contextualSpacing/>
        <w:jc w:val="both"/>
        <w:rPr>
          <w:szCs w:val="20"/>
          <w:lang w:val="uk-UA"/>
        </w:rPr>
      </w:pPr>
      <w:r w:rsidRPr="006874D2">
        <w:rPr>
          <w:szCs w:val="20"/>
          <w:lang w:val="uk-UA"/>
        </w:rPr>
        <w:t xml:space="preserve">Згідно </w:t>
      </w:r>
      <w:r>
        <w:rPr>
          <w:szCs w:val="20"/>
          <w:lang w:val="uk-UA"/>
        </w:rPr>
        <w:t xml:space="preserve">до вимог </w:t>
      </w:r>
      <w:r w:rsidRPr="006874D2">
        <w:rPr>
          <w:szCs w:val="20"/>
          <w:lang w:val="uk-UA"/>
        </w:rPr>
        <w:t>ПБСГ, зокрема пунктами 3.2 та 3.3 розділу ІІІ</w:t>
      </w:r>
      <w:r>
        <w:rPr>
          <w:szCs w:val="20"/>
          <w:lang w:val="uk-UA"/>
        </w:rPr>
        <w:t xml:space="preserve"> передбачено</w:t>
      </w:r>
      <w:r w:rsidRPr="006874D2">
        <w:rPr>
          <w:szCs w:val="20"/>
          <w:lang w:val="uk-UA"/>
        </w:rPr>
        <w:t xml:space="preserve">, </w:t>
      </w:r>
      <w:r>
        <w:rPr>
          <w:szCs w:val="20"/>
          <w:lang w:val="uk-UA"/>
        </w:rPr>
        <w:t xml:space="preserve">що </w:t>
      </w:r>
      <w:r w:rsidRPr="006874D2">
        <w:rPr>
          <w:szCs w:val="20"/>
          <w:lang w:val="uk-UA"/>
        </w:rPr>
        <w:t>на власників будинків покладений обов'язок бути відповідальними за технічний стан і безпечне користування газопроводами, газовими приладами, димовими та вентиляційними каналами та забезпечити утримання систем газопостачання відповідно до вимог чинного законодавства України.</w:t>
      </w:r>
    </w:p>
    <w:p w:rsidR="005F79E6" w:rsidRPr="006874D2" w:rsidRDefault="005F79E6" w:rsidP="006A2FEE">
      <w:pPr>
        <w:tabs>
          <w:tab w:val="center" w:pos="0"/>
        </w:tabs>
        <w:spacing w:line="276" w:lineRule="auto"/>
        <w:ind w:left="34" w:firstLine="567"/>
        <w:jc w:val="both"/>
        <w:rPr>
          <w:szCs w:val="20"/>
          <w:lang w:val="uk-UA" w:eastAsia="uk-UA"/>
        </w:rPr>
      </w:pPr>
      <w:r w:rsidRPr="006874D2">
        <w:rPr>
          <w:szCs w:val="20"/>
          <w:lang w:val="uk-UA" w:eastAsia="uk-UA"/>
        </w:rPr>
        <w:t>Згідно з п. 5.4 глави 5 розділу V ПБСГ, для організації технічного обслуговування (ТО) та поточного ремонту внутрішньобудинкових систем газопостачання і газового обладнання у багатоквартирному будинку необхідно укладання відповідного договору між співвласниками/особою, уповноваженою на це співвласниками, із будь-яким суб’єктом господарювання, що має дозвіл на виконання таких робіт, виданий центральним органом виконавчої влади, що реалізує державну політику з питань нагляду та контролю за додержанням законодавства про працю, з урахуванням вимог Кодексу ГРМ.</w:t>
      </w:r>
    </w:p>
    <w:p w:rsidR="005F79E6" w:rsidRPr="006874D2" w:rsidRDefault="005F79E6" w:rsidP="006A2FEE">
      <w:pPr>
        <w:spacing w:line="276" w:lineRule="auto"/>
        <w:ind w:firstLine="567"/>
        <w:jc w:val="both"/>
        <w:rPr>
          <w:szCs w:val="20"/>
          <w:lang w:val="uk-UA"/>
        </w:rPr>
      </w:pPr>
      <w:r w:rsidRPr="006874D2">
        <w:rPr>
          <w:szCs w:val="20"/>
          <w:lang w:val="uk-UA"/>
        </w:rPr>
        <w:t>Відповідно до Закону України «Про житлово-комунальні послуги» власник/управитель багатоквартирного будинку зобов'язаний забезпечити належні експлуатацію та утримання майна, що перебуває в його управлінні, та несе відповідальність за його експлуатацію. Управління майном може забезпечуватися як власними силами, так із залученням інших юридичних осіб.</w:t>
      </w:r>
    </w:p>
    <w:p w:rsidR="005F79E6" w:rsidRPr="006874D2" w:rsidRDefault="005F79E6" w:rsidP="006A2FEE">
      <w:pPr>
        <w:tabs>
          <w:tab w:val="center" w:pos="0"/>
        </w:tabs>
        <w:spacing w:line="276" w:lineRule="auto"/>
        <w:ind w:left="34" w:firstLine="567"/>
        <w:jc w:val="both"/>
        <w:rPr>
          <w:szCs w:val="20"/>
          <w:lang w:val="uk-UA" w:eastAsia="uk-UA"/>
        </w:rPr>
      </w:pPr>
      <w:r w:rsidRPr="006874D2">
        <w:rPr>
          <w:szCs w:val="20"/>
          <w:lang w:val="uk-UA" w:eastAsia="uk-UA"/>
        </w:rPr>
        <w:t>Згідно пункту 1 глави 5 розділу ІІІ Кодексу ГРМ, межа балансової належності та експлуатаційної відповідальності між Оператором ГРМ та споживачем визначається в акті розмежування балансової належності та експлуатаційної відповідальності сторін. Власники/управителі, на балансі чи в управлінні яких знаходяться багатоквартирні будинки чи гуртожитки (незалежно від того, є вони споживачами природного газу чи ні), укладають з Оператором ГРМ, до об’єктів газорозподільної системи якого підключені зазначені будинки/гуртожитки, акт розмежування балансової належності та експлуатаційної відповідальності сторін відносно їх внутрішньобудинкових систем газопостачання.</w:t>
      </w:r>
    </w:p>
    <w:p w:rsidR="005F79E6" w:rsidRPr="006874D2" w:rsidRDefault="005F79E6" w:rsidP="006A2FEE">
      <w:pPr>
        <w:tabs>
          <w:tab w:val="center" w:pos="0"/>
        </w:tabs>
        <w:spacing w:line="276" w:lineRule="auto"/>
        <w:ind w:left="34" w:firstLine="567"/>
        <w:jc w:val="both"/>
        <w:rPr>
          <w:szCs w:val="20"/>
          <w:lang w:val="uk-UA" w:eastAsia="uk-UA"/>
        </w:rPr>
      </w:pPr>
      <w:r w:rsidRPr="006874D2">
        <w:rPr>
          <w:szCs w:val="20"/>
          <w:lang w:val="uk-UA" w:eastAsia="uk-UA"/>
        </w:rPr>
        <w:t>Пункт 2 цієї глави встановлює, що межа балансової належності визначається за ознаками права власності на газові мережі чи окремі їх елементи. Межа експлуатаційної відповідальності встановлюється на межі балансової належності, але за домовленістю сторін може не збігатися з межею балансової належності, про що має бути зазначено в акті розмежування балансової належності та експлуатаційної відповідальності сторін.</w:t>
      </w:r>
    </w:p>
    <w:p w:rsidR="005F79E6" w:rsidRPr="006874D2" w:rsidRDefault="005F79E6" w:rsidP="006A2FEE">
      <w:pPr>
        <w:spacing w:line="276" w:lineRule="auto"/>
        <w:ind w:firstLine="567"/>
        <w:jc w:val="both"/>
        <w:rPr>
          <w:szCs w:val="20"/>
          <w:lang w:val="uk-UA" w:eastAsia="uk-UA"/>
        </w:rPr>
      </w:pPr>
      <w:r w:rsidRPr="006874D2">
        <w:rPr>
          <w:szCs w:val="20"/>
          <w:lang w:val="uk-UA" w:eastAsia="uk-UA"/>
        </w:rPr>
        <w:t>Відповідно до вимог п. 7.17 розділу V ПБСГ, всі об’єкти систем газопостачання і газове обладнання перед їх підключенням до діючих газопроводів, а також після ремонту підлягають зовнішньому огляду і опресовуванню повітрям. Пуск газу в газопровід без його зовнішнього огляду та контрольного опресовування не допускається.</w:t>
      </w:r>
    </w:p>
    <w:p w:rsidR="005F79E6" w:rsidRPr="006874D2" w:rsidRDefault="005F79E6" w:rsidP="006A2FEE">
      <w:pPr>
        <w:tabs>
          <w:tab w:val="center" w:pos="0"/>
        </w:tabs>
        <w:spacing w:line="276" w:lineRule="auto"/>
        <w:ind w:left="34" w:firstLine="567"/>
        <w:jc w:val="both"/>
        <w:rPr>
          <w:szCs w:val="20"/>
          <w:lang w:val="uk-UA" w:eastAsia="uk-UA"/>
        </w:rPr>
      </w:pPr>
      <w:r w:rsidRPr="006874D2">
        <w:rPr>
          <w:szCs w:val="20"/>
          <w:lang w:val="uk-UA" w:eastAsia="uk-UA"/>
        </w:rPr>
        <w:t xml:space="preserve">Виходячи з вищенаведеного, для відновлення газопостачання </w:t>
      </w:r>
      <w:r w:rsidRPr="006874D2">
        <w:rPr>
          <w:color w:val="000000"/>
          <w:szCs w:val="20"/>
          <w:lang w:val="uk-UA" w:eastAsia="uk-UA"/>
        </w:rPr>
        <w:t xml:space="preserve">житлового будинку </w:t>
      </w:r>
      <w:r w:rsidRPr="006874D2">
        <w:rPr>
          <w:szCs w:val="20"/>
          <w:lang w:val="uk-UA" w:eastAsia="uk-UA"/>
        </w:rPr>
        <w:t xml:space="preserve">№29 </w:t>
      </w:r>
      <w:r w:rsidRPr="006874D2">
        <w:rPr>
          <w:color w:val="000000"/>
          <w:szCs w:val="20"/>
          <w:lang w:val="uk-UA" w:eastAsia="uk-UA"/>
        </w:rPr>
        <w:t xml:space="preserve">за адресою </w:t>
      </w:r>
      <w:r w:rsidRPr="006874D2">
        <w:rPr>
          <w:szCs w:val="20"/>
          <w:lang w:val="uk-UA"/>
        </w:rPr>
        <w:t xml:space="preserve">вул. </w:t>
      </w:r>
      <w:r w:rsidRPr="006874D2">
        <w:rPr>
          <w:szCs w:val="20"/>
          <w:lang w:val="uk-UA" w:eastAsia="uk-UA"/>
        </w:rPr>
        <w:t>Князя Ярослава Мудрого</w:t>
      </w:r>
      <w:r w:rsidRPr="006874D2">
        <w:rPr>
          <w:color w:val="000000"/>
          <w:szCs w:val="20"/>
          <w:lang w:val="uk-UA" w:eastAsia="uk-UA"/>
        </w:rPr>
        <w:t xml:space="preserve"> в повному обсязі, </w:t>
      </w:r>
      <w:r w:rsidRPr="006874D2">
        <w:rPr>
          <w:szCs w:val="20"/>
          <w:lang w:val="uk-UA" w:eastAsia="uk-UA"/>
        </w:rPr>
        <w:t>власник/управитель зазначеного багатоквартирного будинку зобов’язаний:</w:t>
      </w:r>
    </w:p>
    <w:p w:rsidR="005F79E6" w:rsidRPr="006874D2" w:rsidRDefault="005F79E6" w:rsidP="00056719">
      <w:pPr>
        <w:spacing w:line="276" w:lineRule="auto"/>
        <w:ind w:left="34" w:firstLine="567"/>
        <w:contextualSpacing/>
        <w:jc w:val="both"/>
        <w:rPr>
          <w:color w:val="000000"/>
          <w:szCs w:val="20"/>
          <w:lang w:val="uk-UA" w:eastAsia="uk-UA"/>
        </w:rPr>
      </w:pPr>
      <w:r w:rsidRPr="006874D2">
        <w:rPr>
          <w:szCs w:val="20"/>
          <w:lang w:val="uk-UA" w:eastAsia="uk-UA"/>
        </w:rPr>
        <w:t>1.</w:t>
      </w:r>
      <w:r w:rsidRPr="006874D2">
        <w:rPr>
          <w:color w:val="000000"/>
          <w:szCs w:val="20"/>
          <w:lang w:val="uk-UA" w:eastAsia="uk-UA"/>
        </w:rPr>
        <w:t>Надати допуск фахівцям АТ «Дніпрогаз» до внутрішньобудинкової системи газопостачання кожної квартири</w:t>
      </w:r>
      <w:r>
        <w:rPr>
          <w:color w:val="000000"/>
          <w:szCs w:val="20"/>
          <w:lang w:val="uk-UA" w:eastAsia="uk-UA"/>
        </w:rPr>
        <w:t>;</w:t>
      </w:r>
    </w:p>
    <w:p w:rsidR="005F79E6" w:rsidRPr="006874D2" w:rsidRDefault="005F79E6" w:rsidP="006A2FEE">
      <w:pPr>
        <w:tabs>
          <w:tab w:val="center" w:pos="0"/>
        </w:tabs>
        <w:spacing w:line="276" w:lineRule="auto"/>
        <w:ind w:left="34" w:firstLine="567"/>
        <w:jc w:val="both"/>
        <w:rPr>
          <w:szCs w:val="20"/>
          <w:lang w:val="uk-UA" w:eastAsia="uk-UA"/>
        </w:rPr>
      </w:pPr>
      <w:r>
        <w:rPr>
          <w:szCs w:val="20"/>
          <w:lang w:val="uk-UA" w:eastAsia="uk-UA"/>
        </w:rPr>
        <w:t>2</w:t>
      </w:r>
      <w:r w:rsidRPr="00056719">
        <w:rPr>
          <w:szCs w:val="20"/>
          <w:lang w:val="uk-UA" w:eastAsia="uk-UA"/>
        </w:rPr>
        <w:t xml:space="preserve">. </w:t>
      </w:r>
      <w:r w:rsidRPr="006874D2">
        <w:rPr>
          <w:szCs w:val="20"/>
          <w:lang w:val="uk-UA" w:eastAsia="uk-UA"/>
        </w:rPr>
        <w:t>Скласти акт розмежування балансової належності та експлуатаційної відповідальності сторін відносно внутрішньобудинкових систем газопостачання з Оператором ГРМ;</w:t>
      </w:r>
    </w:p>
    <w:p w:rsidR="005F79E6" w:rsidRDefault="005F79E6" w:rsidP="00056719">
      <w:pPr>
        <w:tabs>
          <w:tab w:val="center" w:pos="0"/>
        </w:tabs>
        <w:spacing w:line="276" w:lineRule="auto"/>
        <w:ind w:left="34" w:firstLine="567"/>
        <w:jc w:val="both"/>
        <w:rPr>
          <w:szCs w:val="20"/>
          <w:lang w:val="uk-UA" w:eastAsia="uk-UA"/>
        </w:rPr>
      </w:pPr>
      <w:r>
        <w:rPr>
          <w:szCs w:val="20"/>
          <w:lang w:val="uk-UA" w:eastAsia="uk-UA"/>
        </w:rPr>
        <w:t>3</w:t>
      </w:r>
      <w:r w:rsidRPr="006874D2">
        <w:rPr>
          <w:szCs w:val="20"/>
          <w:lang w:val="uk-UA" w:eastAsia="uk-UA"/>
        </w:rPr>
        <w:t>.Обрати (на умовах вільного ринку) підрядну компанію з відповідними ліцензіями та дозволами та забезпечити укладання договору на ТО газових мереж загального користування.</w:t>
      </w:r>
    </w:p>
    <w:p w:rsidR="005F79E6" w:rsidRPr="00056719" w:rsidRDefault="005F79E6" w:rsidP="00056719">
      <w:pPr>
        <w:tabs>
          <w:tab w:val="center" w:pos="0"/>
        </w:tabs>
        <w:spacing w:line="276" w:lineRule="auto"/>
        <w:ind w:left="34" w:firstLine="567"/>
        <w:jc w:val="both"/>
        <w:rPr>
          <w:szCs w:val="20"/>
          <w:lang w:val="uk-UA" w:eastAsia="uk-UA"/>
        </w:rPr>
      </w:pPr>
      <w:r w:rsidRPr="006874D2">
        <w:rPr>
          <w:szCs w:val="20"/>
          <w:lang w:val="uk-UA" w:eastAsia="uk-UA"/>
        </w:rPr>
        <w:t xml:space="preserve">Роботи по відновленню газопостачання споживачів за вищевказаною адресоюбудуть виконуватись після приведення у відповідність </w:t>
      </w:r>
      <w:r w:rsidRPr="006874D2">
        <w:rPr>
          <w:szCs w:val="20"/>
          <w:u w:val="single"/>
          <w:lang w:val="uk-UA" w:eastAsia="uk-UA"/>
        </w:rPr>
        <w:t>вимогам чинного законодавства</w:t>
      </w:r>
      <w:r w:rsidRPr="006874D2">
        <w:rPr>
          <w:szCs w:val="20"/>
          <w:lang w:val="uk-UA" w:eastAsia="uk-UA"/>
        </w:rPr>
        <w:t xml:space="preserve"> взаємовідносин між АТ «Дніпрогаз» та власником/управителем будинку.</w:t>
      </w:r>
    </w:p>
    <w:p w:rsidR="005F79E6" w:rsidRPr="006874D2" w:rsidRDefault="005F79E6" w:rsidP="006A2FEE">
      <w:pPr>
        <w:tabs>
          <w:tab w:val="center" w:pos="0"/>
        </w:tabs>
        <w:spacing w:line="276" w:lineRule="auto"/>
        <w:ind w:left="34" w:firstLine="567"/>
        <w:jc w:val="both"/>
        <w:rPr>
          <w:szCs w:val="20"/>
          <w:u w:val="single"/>
          <w:lang w:val="uk-UA" w:eastAsia="uk-UA"/>
        </w:rPr>
      </w:pPr>
      <w:r w:rsidRPr="006874D2">
        <w:rPr>
          <w:szCs w:val="20"/>
          <w:lang w:val="uk-UA" w:eastAsia="uk-UA"/>
        </w:rPr>
        <w:t xml:space="preserve">Зауважимо, що врегулювання ситуації щодо відновлення газопостачання за даною адресою знаходиться в компетенції власника/управителя будинку та вимагає від нього певних кроків, передбачених чинним законодавством. </w:t>
      </w:r>
    </w:p>
    <w:p w:rsidR="005F79E6" w:rsidRPr="006874D2" w:rsidRDefault="005F79E6" w:rsidP="006A2FEE">
      <w:pPr>
        <w:widowControl w:val="0"/>
        <w:autoSpaceDE w:val="0"/>
        <w:autoSpaceDN w:val="0"/>
        <w:adjustRightInd w:val="0"/>
        <w:spacing w:line="276" w:lineRule="auto"/>
        <w:ind w:firstLine="709"/>
        <w:jc w:val="both"/>
        <w:rPr>
          <w:color w:val="000000"/>
          <w:szCs w:val="20"/>
          <w:lang w:val="uk-UA" w:eastAsia="uk-UA"/>
        </w:rPr>
      </w:pPr>
    </w:p>
    <w:p w:rsidR="005F79E6" w:rsidRPr="006874D2" w:rsidRDefault="005F79E6" w:rsidP="006A2FEE">
      <w:pPr>
        <w:widowControl w:val="0"/>
        <w:autoSpaceDE w:val="0"/>
        <w:autoSpaceDN w:val="0"/>
        <w:adjustRightInd w:val="0"/>
        <w:spacing w:line="276" w:lineRule="auto"/>
        <w:ind w:firstLine="709"/>
        <w:jc w:val="both"/>
        <w:rPr>
          <w:color w:val="000000"/>
          <w:szCs w:val="20"/>
          <w:lang w:val="uk-UA" w:eastAsia="uk-UA"/>
        </w:rPr>
      </w:pPr>
    </w:p>
    <w:p w:rsidR="005F79E6" w:rsidRDefault="005F79E6" w:rsidP="00912C0F">
      <w:pPr>
        <w:spacing w:line="276" w:lineRule="auto"/>
        <w:ind w:firstLine="720"/>
        <w:rPr>
          <w:b/>
          <w:szCs w:val="20"/>
          <w:lang w:val="uk-UA"/>
        </w:rPr>
      </w:pPr>
      <w:r>
        <w:rPr>
          <w:b/>
          <w:szCs w:val="20"/>
          <w:lang w:val="uk-UA"/>
        </w:rPr>
        <w:t xml:space="preserve">Начальник управління </w:t>
      </w:r>
      <w:r>
        <w:rPr>
          <w:b/>
          <w:szCs w:val="20"/>
          <w:lang w:val="uk-UA"/>
        </w:rPr>
        <w:tab/>
      </w:r>
      <w:r>
        <w:rPr>
          <w:b/>
          <w:szCs w:val="20"/>
          <w:lang w:val="uk-UA"/>
        </w:rPr>
        <w:tab/>
      </w:r>
      <w:r>
        <w:rPr>
          <w:b/>
          <w:szCs w:val="20"/>
          <w:lang w:val="uk-UA"/>
        </w:rPr>
        <w:tab/>
      </w:r>
      <w:r>
        <w:rPr>
          <w:b/>
          <w:szCs w:val="20"/>
          <w:lang w:val="uk-UA"/>
        </w:rPr>
        <w:tab/>
      </w:r>
      <w:r>
        <w:rPr>
          <w:b/>
          <w:szCs w:val="20"/>
          <w:lang w:val="uk-UA"/>
        </w:rPr>
        <w:tab/>
        <w:t>М.Л. Лучкін</w:t>
      </w:r>
    </w:p>
    <w:p w:rsidR="005F79E6" w:rsidRPr="006874D2" w:rsidRDefault="005F79E6" w:rsidP="00912C0F">
      <w:pPr>
        <w:spacing w:line="276" w:lineRule="auto"/>
        <w:ind w:firstLine="720"/>
        <w:rPr>
          <w:szCs w:val="20"/>
          <w:lang w:val="uk-UA"/>
        </w:rPr>
      </w:pPr>
      <w:r>
        <w:rPr>
          <w:b/>
          <w:szCs w:val="20"/>
          <w:lang w:val="uk-UA"/>
        </w:rPr>
        <w:t>зовнішніх комунікацій</w:t>
      </w:r>
      <w:bookmarkEnd w:id="1"/>
    </w:p>
    <w:sectPr w:rsidR="005F79E6" w:rsidRPr="006874D2" w:rsidSect="002A0162">
      <w:headerReference w:type="default" r:id="rId8"/>
      <w:headerReference w:type="first" r:id="rId9"/>
      <w:pgSz w:w="11900" w:h="16840"/>
      <w:pgMar w:top="1021" w:right="1304" w:bottom="1786" w:left="1304" w:header="1021"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9E6" w:rsidRDefault="005F79E6" w:rsidP="00525B5B">
      <w:pPr>
        <w:spacing w:line="240" w:lineRule="auto"/>
      </w:pPr>
      <w:r>
        <w:separator/>
      </w:r>
    </w:p>
  </w:endnote>
  <w:endnote w:type="continuationSeparator" w:id="1">
    <w:p w:rsidR="005F79E6" w:rsidRDefault="005F79E6" w:rsidP="00525B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altName w:val="????????"/>
    <w:panose1 w:val="02020603050405020304"/>
    <w:charset w:val="CC"/>
    <w:family w:val="roman"/>
    <w:pitch w:val="variable"/>
    <w:sig w:usb0="E0002EFF" w:usb1="C000785B" w:usb2="00000009" w:usb3="00000000" w:csb0="000001FF" w:csb1="00000000"/>
  </w:font>
  <w:font w:name="Lucida Grand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9E6" w:rsidRDefault="005F79E6" w:rsidP="00525B5B">
      <w:pPr>
        <w:spacing w:line="240" w:lineRule="auto"/>
      </w:pPr>
      <w:r>
        <w:separator/>
      </w:r>
    </w:p>
  </w:footnote>
  <w:footnote w:type="continuationSeparator" w:id="1">
    <w:p w:rsidR="005F79E6" w:rsidRDefault="005F79E6" w:rsidP="00525B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9E6" w:rsidRDefault="005F79E6">
    <w:pPr>
      <w:pStyle w:val="Header"/>
    </w:pPr>
  </w:p>
  <w:p w:rsidR="005F79E6" w:rsidRDefault="005F79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9E6" w:rsidRDefault="005F79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724"/>
    <w:rsid w:val="00021510"/>
    <w:rsid w:val="00056719"/>
    <w:rsid w:val="00065795"/>
    <w:rsid w:val="00066E04"/>
    <w:rsid w:val="00090D8F"/>
    <w:rsid w:val="00115741"/>
    <w:rsid w:val="0017204A"/>
    <w:rsid w:val="00233602"/>
    <w:rsid w:val="00275944"/>
    <w:rsid w:val="00297BAB"/>
    <w:rsid w:val="002A0162"/>
    <w:rsid w:val="002E0A0B"/>
    <w:rsid w:val="0032440E"/>
    <w:rsid w:val="003360D1"/>
    <w:rsid w:val="0034669B"/>
    <w:rsid w:val="00356E6E"/>
    <w:rsid w:val="0040504F"/>
    <w:rsid w:val="00430D75"/>
    <w:rsid w:val="004A1CC5"/>
    <w:rsid w:val="004B1828"/>
    <w:rsid w:val="00502D60"/>
    <w:rsid w:val="00525B5B"/>
    <w:rsid w:val="005F79E6"/>
    <w:rsid w:val="006313EC"/>
    <w:rsid w:val="006874D2"/>
    <w:rsid w:val="006A2FEE"/>
    <w:rsid w:val="006D44D4"/>
    <w:rsid w:val="006D567F"/>
    <w:rsid w:val="00705176"/>
    <w:rsid w:val="007900ED"/>
    <w:rsid w:val="0085064F"/>
    <w:rsid w:val="00874DF4"/>
    <w:rsid w:val="008813A0"/>
    <w:rsid w:val="008E5B26"/>
    <w:rsid w:val="00906DAD"/>
    <w:rsid w:val="00911281"/>
    <w:rsid w:val="00912C0F"/>
    <w:rsid w:val="0091692E"/>
    <w:rsid w:val="009B02A0"/>
    <w:rsid w:val="009D73C6"/>
    <w:rsid w:val="00A053B3"/>
    <w:rsid w:val="00A12221"/>
    <w:rsid w:val="00A1630F"/>
    <w:rsid w:val="00A206B8"/>
    <w:rsid w:val="00A30724"/>
    <w:rsid w:val="00A34087"/>
    <w:rsid w:val="00A3466B"/>
    <w:rsid w:val="00A71D17"/>
    <w:rsid w:val="00A77246"/>
    <w:rsid w:val="00AA5A5D"/>
    <w:rsid w:val="00AF4DC3"/>
    <w:rsid w:val="00B53B82"/>
    <w:rsid w:val="00CF76FE"/>
    <w:rsid w:val="00D46AED"/>
    <w:rsid w:val="00D47DB6"/>
    <w:rsid w:val="00D50E10"/>
    <w:rsid w:val="00D54438"/>
    <w:rsid w:val="00D67060"/>
    <w:rsid w:val="00D92C0B"/>
    <w:rsid w:val="00DF3D8A"/>
    <w:rsid w:val="00E30675"/>
    <w:rsid w:val="00E771B3"/>
    <w:rsid w:val="00E83D77"/>
    <w:rsid w:val="00F60E0A"/>
    <w:rsid w:val="00FA7F6C"/>
    <w:rsid w:val="00FD7027"/>
    <w:rsid w:val="00FE008A"/>
    <w:rsid w:val="00FF43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Текст1"/>
    <w:qFormat/>
    <w:rsid w:val="0032440E"/>
    <w:pPr>
      <w:spacing w:line="300" w:lineRule="auto"/>
    </w:pPr>
    <w:rPr>
      <w:rFonts w:ascii="Arial" w:hAnsi="Arial"/>
      <w:noProof/>
      <w:sz w:val="20"/>
      <w:szCs w:val="24"/>
      <w:lang w:val="ru-RU"/>
    </w:rPr>
  </w:style>
  <w:style w:type="paragraph" w:styleId="Heading1">
    <w:name w:val="heading 1"/>
    <w:aliases w:val="Название1"/>
    <w:basedOn w:val="Normal"/>
    <w:next w:val="Normal"/>
    <w:link w:val="Heading1Char1"/>
    <w:uiPriority w:val="99"/>
    <w:qFormat/>
    <w:rsid w:val="00A30724"/>
    <w:pPr>
      <w:keepNext/>
      <w:keepLines/>
      <w:spacing w:after="240"/>
      <w:jc w:val="center"/>
      <w:outlineLvl w:val="0"/>
    </w:pPr>
    <w:rPr>
      <w:b/>
      <w:bCs/>
      <w:color w:val="000000"/>
      <w:sz w:val="28"/>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Название1 Char"/>
    <w:basedOn w:val="DefaultParagraphFont"/>
    <w:link w:val="Heading1"/>
    <w:uiPriority w:val="9"/>
    <w:rsid w:val="00265F90"/>
    <w:rPr>
      <w:rFonts w:asciiTheme="majorHAnsi" w:eastAsiaTheme="majorEastAsia" w:hAnsiTheme="majorHAnsi" w:cstheme="majorBidi"/>
      <w:b/>
      <w:bCs/>
      <w:noProof/>
      <w:kern w:val="32"/>
      <w:sz w:val="32"/>
      <w:szCs w:val="32"/>
      <w:lang w:val="ru-RU"/>
    </w:rPr>
  </w:style>
  <w:style w:type="character" w:customStyle="1" w:styleId="Heading1Char1">
    <w:name w:val="Heading 1 Char1"/>
    <w:aliases w:val="Название1 Char1"/>
    <w:basedOn w:val="DefaultParagraphFont"/>
    <w:link w:val="Heading1"/>
    <w:uiPriority w:val="99"/>
    <w:locked/>
    <w:rsid w:val="00A30724"/>
    <w:rPr>
      <w:rFonts w:ascii="Arial" w:hAnsi="Arial" w:cs="Times New Roman"/>
      <w:b/>
      <w:bCs/>
      <w:color w:val="000000"/>
      <w:sz w:val="32"/>
      <w:szCs w:val="32"/>
    </w:rPr>
  </w:style>
  <w:style w:type="paragraph" w:styleId="NormalWeb">
    <w:name w:val="Normal (Web)"/>
    <w:basedOn w:val="Normal"/>
    <w:uiPriority w:val="99"/>
    <w:semiHidden/>
    <w:rsid w:val="002E0A0B"/>
    <w:pPr>
      <w:spacing w:before="100" w:beforeAutospacing="1" w:after="100" w:afterAutospacing="1"/>
    </w:pPr>
    <w:rPr>
      <w:rFonts w:ascii="Times" w:hAnsi="Times"/>
      <w:szCs w:val="20"/>
    </w:rPr>
  </w:style>
  <w:style w:type="paragraph" w:styleId="Header">
    <w:name w:val="header"/>
    <w:basedOn w:val="Normal"/>
    <w:link w:val="HeaderChar"/>
    <w:uiPriority w:val="99"/>
    <w:rsid w:val="00525B5B"/>
    <w:pPr>
      <w:tabs>
        <w:tab w:val="center" w:pos="4320"/>
        <w:tab w:val="right" w:pos="8640"/>
      </w:tabs>
      <w:spacing w:line="240" w:lineRule="auto"/>
    </w:pPr>
  </w:style>
  <w:style w:type="character" w:customStyle="1" w:styleId="HeaderChar">
    <w:name w:val="Header Char"/>
    <w:basedOn w:val="DefaultParagraphFont"/>
    <w:link w:val="Header"/>
    <w:uiPriority w:val="99"/>
    <w:locked/>
    <w:rsid w:val="00525B5B"/>
    <w:rPr>
      <w:rFonts w:ascii="Arial" w:hAnsi="Arial" w:cs="Times New Roman"/>
      <w:noProof/>
      <w:sz w:val="20"/>
      <w:lang w:val="ru-RU"/>
    </w:rPr>
  </w:style>
  <w:style w:type="paragraph" w:styleId="Footer">
    <w:name w:val="footer"/>
    <w:basedOn w:val="Normal"/>
    <w:link w:val="FooterChar"/>
    <w:uiPriority w:val="99"/>
    <w:rsid w:val="00525B5B"/>
    <w:pPr>
      <w:tabs>
        <w:tab w:val="center" w:pos="4320"/>
        <w:tab w:val="right" w:pos="8640"/>
      </w:tabs>
      <w:spacing w:line="240" w:lineRule="auto"/>
    </w:pPr>
  </w:style>
  <w:style w:type="character" w:customStyle="1" w:styleId="FooterChar">
    <w:name w:val="Footer Char"/>
    <w:basedOn w:val="DefaultParagraphFont"/>
    <w:link w:val="Footer"/>
    <w:uiPriority w:val="99"/>
    <w:locked/>
    <w:rsid w:val="00525B5B"/>
    <w:rPr>
      <w:rFonts w:ascii="Arial" w:hAnsi="Arial" w:cs="Times New Roman"/>
      <w:noProof/>
      <w:sz w:val="20"/>
      <w:lang w:val="ru-RU"/>
    </w:rPr>
  </w:style>
  <w:style w:type="paragraph" w:styleId="BalloonText">
    <w:name w:val="Balloon Text"/>
    <w:basedOn w:val="Normal"/>
    <w:link w:val="BalloonTextChar"/>
    <w:uiPriority w:val="99"/>
    <w:semiHidden/>
    <w:rsid w:val="00525B5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25B5B"/>
    <w:rPr>
      <w:rFonts w:ascii="Lucida Grande" w:hAnsi="Lucida Grande" w:cs="Lucida Grande"/>
      <w:noProof/>
      <w:sz w:val="18"/>
      <w:szCs w:val="18"/>
      <w:lang w:val="ru-RU"/>
    </w:rPr>
  </w:style>
  <w:style w:type="paragraph" w:styleId="ListParagraph">
    <w:name w:val="List Paragraph"/>
    <w:aliases w:val="Details"/>
    <w:basedOn w:val="Normal"/>
    <w:uiPriority w:val="99"/>
    <w:qFormat/>
    <w:rsid w:val="00A71D17"/>
    <w:pPr>
      <w:spacing w:line="240" w:lineRule="auto"/>
      <w:contextualSpacing/>
    </w:pPr>
    <w:rPr>
      <w:sz w:val="16"/>
    </w:rPr>
  </w:style>
  <w:style w:type="character" w:styleId="Hyperlink">
    <w:name w:val="Hyperlink"/>
    <w:basedOn w:val="DefaultParagraphFont"/>
    <w:uiPriority w:val="99"/>
    <w:rsid w:val="00A1222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72850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dpgorgas.com.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898</Words>
  <Characters>5124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DGCMP-</cp:lastModifiedBy>
  <cp:revision>3</cp:revision>
  <cp:lastPrinted>2021-07-27T08:27:00Z</cp:lastPrinted>
  <dcterms:created xsi:type="dcterms:W3CDTF">2021-07-27T08:44:00Z</dcterms:created>
  <dcterms:modified xsi:type="dcterms:W3CDTF">2021-08-12T07:41:00Z</dcterms:modified>
</cp:coreProperties>
</file>